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pacing w:line="276" w:lineRule="auto"/>
        <w:ind w:left="877" w:right="1142"/>
        <w:jc w:val="center"/>
        <w:rPr>
          <w:rFonts w:ascii="Cambria" w:hAnsi="Cambria"/>
          <w:b/>
          <w:sz w:val="28"/>
          <w:szCs w:val="28"/>
          <w:lang w:val="ro-RO"/>
        </w:rPr>
      </w:pPr>
      <w:r>
        <w:rPr>
          <w:rFonts w:ascii="Cambria" w:hAnsi="Cambria"/>
          <w:b/>
          <w:sz w:val="28"/>
          <w:szCs w:val="28"/>
          <w:lang w:val="ro-RO"/>
        </w:rPr>
        <w:t xml:space="preserve">AGENDA </w:t>
      </w:r>
    </w:p>
    <w:p>
      <w:pPr>
        <w:widowControl w:val="0"/>
        <w:autoSpaceDE w:val="0"/>
        <w:autoSpaceDN w:val="0"/>
        <w:adjustRightInd w:val="0"/>
        <w:spacing w:line="276" w:lineRule="auto"/>
        <w:ind w:left="877" w:right="1142"/>
        <w:jc w:val="center"/>
        <w:rPr>
          <w:rFonts w:ascii="Cambria" w:hAnsi="Cambria"/>
          <w:b/>
          <w:sz w:val="20"/>
          <w:szCs w:val="20"/>
          <w:lang w:val="ro-RO"/>
        </w:rPr>
      </w:pPr>
    </w:p>
    <w:p>
      <w:pPr>
        <w:widowControl w:val="0"/>
        <w:autoSpaceDE w:val="0"/>
        <w:autoSpaceDN w:val="0"/>
        <w:adjustRightInd w:val="0"/>
        <w:spacing w:line="276" w:lineRule="auto"/>
        <w:ind w:left="877" w:right="1142"/>
        <w:jc w:val="center"/>
        <w:rPr>
          <w:rFonts w:ascii="Cambria" w:hAnsi="Cambria"/>
          <w:b/>
          <w:sz w:val="28"/>
          <w:szCs w:val="28"/>
          <w:lang w:val="ro-RO"/>
        </w:rPr>
      </w:pPr>
      <w:r>
        <w:rPr>
          <w:rFonts w:ascii="Cambria" w:hAnsi="Cambria"/>
          <w:b/>
          <w:sz w:val="28"/>
          <w:szCs w:val="28"/>
          <w:lang w:val="ro-RO"/>
        </w:rPr>
        <w:t>Launch event</w:t>
      </w:r>
    </w:p>
    <w:p>
      <w:pPr>
        <w:tabs>
          <w:tab w:val="left" w:pos="6300"/>
        </w:tabs>
        <w:spacing w:line="276" w:lineRule="auto"/>
        <w:jc w:val="center"/>
        <w:rPr>
          <w:rStyle w:val="19"/>
          <w:rFonts w:ascii="Cambria" w:hAnsi="Cambria" w:cs="Arial"/>
          <w:b/>
          <w:color w:val="17375E" w:themeColor="text2" w:themeShade="BF"/>
          <w:sz w:val="32"/>
          <w:szCs w:val="32"/>
          <w:lang w:val="ro-RO"/>
        </w:rPr>
      </w:pPr>
      <w:r>
        <w:rPr>
          <w:rStyle w:val="19"/>
          <w:rFonts w:ascii="Cambria" w:hAnsi="Cambria" w:cs="Arial"/>
          <w:b/>
          <w:color w:val="17375E" w:themeColor="text2" w:themeShade="BF"/>
          <w:sz w:val="32"/>
          <w:szCs w:val="32"/>
          <w:lang w:val="ro-RO"/>
        </w:rPr>
        <w:t>INCREASING THE INTEGRITY IN PUBLIC PROCUREMENT</w:t>
      </w:r>
    </w:p>
    <w:p>
      <w:pPr>
        <w:tabs>
          <w:tab w:val="left" w:pos="6300"/>
        </w:tabs>
        <w:spacing w:line="276" w:lineRule="auto"/>
        <w:jc w:val="center"/>
        <w:rPr>
          <w:rFonts w:ascii="Cambria" w:hAnsi="Cambria" w:cs="Arial"/>
          <w:b/>
          <w:color w:val="1F497D"/>
          <w:sz w:val="12"/>
          <w:szCs w:val="12"/>
        </w:rPr>
      </w:pPr>
    </w:p>
    <w:p>
      <w:pPr>
        <w:spacing w:line="276" w:lineRule="auto"/>
        <w:jc w:val="center"/>
        <w:rPr>
          <w:rFonts w:ascii="Cambria" w:hAnsi="Cambria"/>
          <w:i/>
          <w:iCs/>
          <w:lang w:val="ro-RO"/>
        </w:rPr>
      </w:pPr>
      <w:r>
        <w:rPr>
          <w:rFonts w:ascii="Cambria" w:hAnsi="Cambria"/>
          <w:i/>
          <w:iCs/>
          <w:lang w:val="ro-RO"/>
        </w:rPr>
        <w:t>September 30, 2021</w:t>
      </w:r>
    </w:p>
    <w:p>
      <w:pPr>
        <w:spacing w:line="276" w:lineRule="auto"/>
        <w:jc w:val="center"/>
        <w:rPr>
          <w:rFonts w:ascii="Cambria" w:hAnsi="Cambria"/>
          <w:i/>
          <w:iCs/>
          <w:lang w:val="ro-RO"/>
        </w:rPr>
      </w:pPr>
      <w:r>
        <w:rPr>
          <w:rFonts w:ascii="Cambria" w:hAnsi="Cambria"/>
          <w:i/>
          <w:iCs/>
          <w:lang w:val="ro-RO"/>
        </w:rPr>
        <w:t>Online, via Zoom Platform</w:t>
      </w:r>
    </w:p>
    <w:p>
      <w:pPr>
        <w:spacing w:line="276" w:lineRule="auto"/>
        <w:jc w:val="center"/>
        <w:rPr>
          <w:rFonts w:ascii="Cambria" w:hAnsi="Cambria"/>
          <w:i/>
          <w:iCs/>
          <w:lang w:val="ro-RO"/>
        </w:rPr>
      </w:pPr>
    </w:p>
    <w:p>
      <w:pPr>
        <w:spacing w:line="276" w:lineRule="auto"/>
        <w:ind w:left="284"/>
        <w:rPr>
          <w:rFonts w:ascii="Cambria" w:hAnsi="Cambria"/>
          <w:b/>
          <w:iCs/>
          <w:lang w:val="ro-RO"/>
        </w:rPr>
      </w:pPr>
      <w:r>
        <w:rPr>
          <w:rFonts w:ascii="Cambria" w:hAnsi="Cambria"/>
          <w:b/>
          <w:iCs/>
          <w:lang w:val="ro-RO"/>
        </w:rPr>
        <w:t xml:space="preserve">Zoom registration link: </w:t>
      </w:r>
      <w:r>
        <w:fldChar w:fldCharType="begin"/>
      </w:r>
      <w:r>
        <w:instrText xml:space="preserve"> HYPERLINK "https://bit.ly/2VG8raK" </w:instrText>
      </w:r>
      <w:r>
        <w:fldChar w:fldCharType="separate"/>
      </w:r>
      <w:r>
        <w:rPr>
          <w:rStyle w:val="11"/>
          <w:rFonts w:asciiTheme="majorHAnsi" w:hAnsiTheme="majorHAnsi"/>
          <w:bCs/>
          <w:iCs/>
          <w:lang w:val="ro-RO"/>
        </w:rPr>
        <w:t>https://bit.ly/2VG8raK</w:t>
      </w:r>
      <w:r>
        <w:rPr>
          <w:rStyle w:val="11"/>
          <w:rFonts w:asciiTheme="majorHAnsi" w:hAnsiTheme="majorHAnsi"/>
          <w:bCs/>
          <w:iCs/>
          <w:lang w:val="ro-RO"/>
        </w:rPr>
        <w:fldChar w:fldCharType="end"/>
      </w:r>
      <w:r>
        <w:rPr>
          <w:rFonts w:asciiTheme="majorHAnsi" w:hAnsiTheme="majorHAnsi"/>
          <w:b/>
          <w:iCs/>
          <w:lang w:val="ro-RO"/>
        </w:rPr>
        <w:t xml:space="preserve">  </w:t>
      </w:r>
      <w:r>
        <w:rPr>
          <w:rFonts w:asciiTheme="majorHAnsi" w:hAnsiTheme="majorHAnsi"/>
          <w:iCs/>
          <w:lang w:val="ro-RO"/>
        </w:rPr>
        <w:t xml:space="preserve"> </w:t>
      </w:r>
    </w:p>
    <w:p>
      <w:pPr>
        <w:ind w:left="284"/>
        <w:rPr>
          <w:color w:val="232333"/>
          <w:lang w:val="ro-RO" w:eastAsia="ro-RO"/>
        </w:rPr>
      </w:pPr>
      <w:r>
        <w:rPr>
          <w:rFonts w:ascii="Cambria" w:hAnsi="Cambria"/>
          <w:b/>
          <w:iCs/>
          <w:lang w:val="ro-RO"/>
        </w:rPr>
        <w:t>Webinar ID:</w:t>
      </w:r>
      <w:r>
        <w:rPr>
          <w:lang w:val="ro-RO" w:eastAsia="ro-RO"/>
        </w:rPr>
        <w:t xml:space="preserve"> </w:t>
      </w:r>
      <w:r>
        <w:rPr>
          <w:color w:val="232333"/>
          <w:lang w:val="ro-RO" w:eastAsia="ro-RO"/>
        </w:rPr>
        <w:t>861 0780 3751</w:t>
      </w:r>
    </w:p>
    <w:p>
      <w:pPr>
        <w:ind w:left="284"/>
        <w:rPr>
          <w:rFonts w:ascii="Cambria" w:hAnsi="Cambria"/>
          <w:b/>
          <w:iCs/>
          <w:lang w:val="ro-RO"/>
        </w:rPr>
      </w:pPr>
      <w:r>
        <w:rPr>
          <w:rFonts w:ascii="Cambria" w:hAnsi="Cambria"/>
          <w:b/>
          <w:iCs/>
          <w:lang w:val="ro-RO"/>
        </w:rPr>
        <w:t>Webinar passcode: </w:t>
      </w:r>
      <w:r>
        <w:rPr>
          <w:rFonts w:ascii="Cambria" w:hAnsi="Cambria"/>
          <w:iCs/>
          <w:lang w:val="ro-RO"/>
        </w:rPr>
        <w:t>228251</w:t>
      </w:r>
    </w:p>
    <w:p>
      <w:pPr>
        <w:spacing w:line="276" w:lineRule="auto"/>
        <w:jc w:val="center"/>
        <w:rPr>
          <w:rFonts w:ascii="Cambria" w:hAnsi="Cambria"/>
          <w:i/>
          <w:iCs/>
          <w:lang w:val="ro-RO"/>
        </w:rPr>
      </w:pPr>
    </w:p>
    <w:tbl>
      <w:tblPr>
        <w:tblStyle w:val="6"/>
        <w:tblpPr w:leftFromText="180" w:rightFromText="180" w:vertAnchor="text" w:tblpY="1"/>
        <w:tblOverlap w:val="never"/>
        <w:tblW w:w="10255" w:type="dxa"/>
        <w:tblInd w:w="0" w:type="dxa"/>
        <w:tblLayout w:type="autofit"/>
        <w:tblCellMar>
          <w:top w:w="0" w:type="dxa"/>
          <w:left w:w="108" w:type="dxa"/>
          <w:bottom w:w="0" w:type="dxa"/>
          <w:right w:w="108" w:type="dxa"/>
        </w:tblCellMar>
      </w:tblPr>
      <w:tblGrid>
        <w:gridCol w:w="1638"/>
        <w:gridCol w:w="8617"/>
      </w:tblGrid>
      <w:tr>
        <w:tblPrEx>
          <w:tblCellMar>
            <w:top w:w="0" w:type="dxa"/>
            <w:left w:w="108" w:type="dxa"/>
            <w:bottom w:w="0" w:type="dxa"/>
            <w:right w:w="108" w:type="dxa"/>
          </w:tblCellMar>
        </w:tblPrEx>
        <w:trPr>
          <w:trHeight w:val="440" w:hRule="atLeast"/>
        </w:trPr>
        <w:tc>
          <w:tcPr>
            <w:tcW w:w="1638" w:type="dxa"/>
          </w:tcPr>
          <w:p>
            <w:pPr>
              <w:spacing w:line="276" w:lineRule="auto"/>
              <w:jc w:val="center"/>
              <w:rPr>
                <w:rFonts w:asciiTheme="majorHAnsi" w:hAnsiTheme="majorHAnsi"/>
                <w:b/>
                <w:bCs/>
                <w:lang w:val="ro-RO"/>
              </w:rPr>
            </w:pPr>
            <w:r>
              <w:rPr>
                <w:rFonts w:asciiTheme="majorHAnsi" w:hAnsiTheme="majorHAnsi"/>
                <w:lang w:val="ro-RO"/>
              </w:rPr>
              <w:t>8.45 – 9.00</w:t>
            </w:r>
          </w:p>
        </w:tc>
        <w:tc>
          <w:tcPr>
            <w:tcW w:w="8617" w:type="dxa"/>
          </w:tcPr>
          <w:p>
            <w:pPr>
              <w:spacing w:line="276" w:lineRule="auto"/>
              <w:jc w:val="both"/>
              <w:rPr>
                <w:rFonts w:asciiTheme="majorHAnsi" w:hAnsiTheme="majorHAnsi"/>
                <w:bCs/>
                <w:i/>
                <w:lang w:val="ro-RO"/>
              </w:rPr>
            </w:pPr>
            <w:r>
              <w:rPr>
                <w:rFonts w:asciiTheme="majorHAnsi" w:hAnsiTheme="majorHAnsi" w:cstheme="minorHAnsi"/>
                <w:b/>
                <w:bCs/>
                <w:lang w:val="ro-RO"/>
              </w:rPr>
              <w:t>Registration of participants</w:t>
            </w:r>
          </w:p>
        </w:tc>
      </w:tr>
      <w:tr>
        <w:tblPrEx>
          <w:tblCellMar>
            <w:top w:w="0" w:type="dxa"/>
            <w:left w:w="108" w:type="dxa"/>
            <w:bottom w:w="0" w:type="dxa"/>
            <w:right w:w="108" w:type="dxa"/>
          </w:tblCellMar>
        </w:tblPrEx>
        <w:trPr>
          <w:trHeight w:val="1189" w:hRule="atLeast"/>
        </w:trPr>
        <w:tc>
          <w:tcPr>
            <w:tcW w:w="1638" w:type="dxa"/>
          </w:tcPr>
          <w:p>
            <w:pPr>
              <w:spacing w:line="276" w:lineRule="auto"/>
              <w:ind w:left="90"/>
              <w:jc w:val="center"/>
              <w:rPr>
                <w:rFonts w:asciiTheme="majorHAnsi" w:hAnsiTheme="majorHAnsi"/>
                <w:b/>
                <w:iCs/>
                <w:lang w:eastAsia="ro-RO"/>
              </w:rPr>
            </w:pPr>
            <w:r>
              <w:rPr>
                <w:rFonts w:asciiTheme="majorHAnsi" w:hAnsiTheme="majorHAnsi"/>
                <w:lang w:val="ro-RO"/>
              </w:rPr>
              <w:t>9.00 – 10.00</w:t>
            </w:r>
          </w:p>
        </w:tc>
        <w:tc>
          <w:tcPr>
            <w:tcW w:w="8617" w:type="dxa"/>
          </w:tcPr>
          <w:p>
            <w:pPr>
              <w:spacing w:line="276" w:lineRule="auto"/>
              <w:jc w:val="both"/>
              <w:rPr>
                <w:rFonts w:asciiTheme="majorHAnsi" w:hAnsiTheme="majorHAnsi" w:cstheme="minorHAnsi"/>
                <w:b/>
                <w:bCs/>
                <w:color w:val="000000"/>
              </w:rPr>
            </w:pPr>
            <w:r>
              <w:rPr>
                <w:rFonts w:asciiTheme="majorHAnsi" w:hAnsiTheme="majorHAnsi" w:cstheme="minorHAnsi"/>
                <w:b/>
                <w:bCs/>
                <w:color w:val="000000"/>
              </w:rPr>
              <w:t>Session I: Opening and presentation of the project “Increasing the integrity in public procurement“</w:t>
            </w:r>
          </w:p>
          <w:p>
            <w:pPr>
              <w:spacing w:line="276" w:lineRule="auto"/>
              <w:jc w:val="both"/>
              <w:rPr>
                <w:rFonts w:asciiTheme="majorHAnsi" w:hAnsiTheme="majorHAnsi" w:cstheme="minorHAnsi"/>
                <w:b/>
                <w:bCs/>
                <w:sz w:val="12"/>
                <w:szCs w:val="12"/>
                <w:lang w:val="en-US"/>
              </w:rPr>
            </w:pPr>
          </w:p>
          <w:p>
            <w:pPr>
              <w:spacing w:line="276" w:lineRule="auto"/>
              <w:rPr>
                <w:rFonts w:asciiTheme="majorHAnsi" w:hAnsiTheme="majorHAnsi" w:cstheme="minorHAnsi"/>
                <w:b/>
                <w:lang w:val="en-US" w:eastAsia="en-US"/>
              </w:rPr>
            </w:pPr>
            <w:r>
              <w:rPr>
                <w:rFonts w:asciiTheme="majorHAnsi" w:hAnsiTheme="majorHAnsi" w:cstheme="minorHAnsi"/>
                <w:b/>
                <w:color w:val="000000"/>
              </w:rPr>
              <w:t>Welcome speeches</w:t>
            </w:r>
          </w:p>
          <w:p>
            <w:pPr>
              <w:spacing w:line="276" w:lineRule="auto"/>
              <w:jc w:val="both"/>
              <w:rPr>
                <w:rFonts w:asciiTheme="majorHAnsi" w:hAnsiTheme="majorHAnsi" w:cstheme="minorHAnsi"/>
                <w:bCs/>
                <w:i/>
                <w:iCs/>
                <w:lang w:val="en-US"/>
              </w:rPr>
            </w:pPr>
            <w:r>
              <w:rPr>
                <w:rFonts w:asciiTheme="majorHAnsi" w:hAnsiTheme="majorHAnsi" w:cstheme="minorHAnsi"/>
                <w:bCs/>
                <w:i/>
                <w:iCs/>
              </w:rPr>
              <w:t>Liubomir Chiriac, Executive Director,</w:t>
            </w:r>
            <w:r>
              <w:rPr>
                <w:rFonts w:asciiTheme="majorHAnsi" w:hAnsiTheme="majorHAnsi" w:cstheme="minorHAnsi"/>
                <w:b/>
                <w:bCs/>
                <w:i/>
                <w:iCs/>
              </w:rPr>
              <w:t xml:space="preserve"> </w:t>
            </w:r>
            <w:r>
              <w:rPr>
                <w:rFonts w:asciiTheme="majorHAnsi" w:hAnsiTheme="majorHAnsi" w:cstheme="minorHAnsi"/>
                <w:bCs/>
                <w:i/>
                <w:iCs/>
              </w:rPr>
              <w:t xml:space="preserve">IDIS </w:t>
            </w:r>
            <w:r>
              <w:rPr>
                <w:rStyle w:val="19"/>
                <w:rFonts w:asciiTheme="majorHAnsi" w:hAnsiTheme="majorHAnsi" w:cstheme="minorHAnsi"/>
                <w:i/>
                <w:lang w:val="ro-RO"/>
              </w:rPr>
              <w:t>"</w:t>
            </w:r>
            <w:r>
              <w:rPr>
                <w:rFonts w:asciiTheme="majorHAnsi" w:hAnsiTheme="majorHAnsi" w:cstheme="minorHAnsi"/>
                <w:bCs/>
                <w:i/>
                <w:iCs/>
                <w:lang w:val="en-US"/>
              </w:rPr>
              <w:t>Viitorul"</w:t>
            </w:r>
          </w:p>
          <w:p>
            <w:pPr>
              <w:spacing w:line="276" w:lineRule="auto"/>
              <w:rPr>
                <w:rFonts w:asciiTheme="majorHAnsi" w:hAnsiTheme="majorHAnsi" w:cstheme="minorHAnsi"/>
                <w:i/>
                <w:iCs/>
                <w:lang w:val="en-US"/>
              </w:rPr>
            </w:pPr>
            <w:r>
              <w:rPr>
                <w:rFonts w:asciiTheme="majorHAnsi" w:hAnsiTheme="majorHAnsi" w:cstheme="minorHAnsi"/>
                <w:i/>
                <w:iCs/>
                <w:lang w:eastAsia="ru-RU"/>
              </w:rPr>
              <w:t>Dumitru Budianschi, Minister of Finance</w:t>
            </w:r>
          </w:p>
          <w:p>
            <w:pPr>
              <w:spacing w:line="276" w:lineRule="auto"/>
              <w:rPr>
                <w:rFonts w:asciiTheme="majorHAnsi" w:hAnsiTheme="majorHAnsi" w:cstheme="minorHAnsi"/>
                <w:i/>
                <w:iCs/>
              </w:rPr>
            </w:pPr>
            <w:r>
              <w:rPr>
                <w:rFonts w:asciiTheme="majorHAnsi" w:hAnsiTheme="majorHAnsi" w:cstheme="minorHAnsi"/>
                <w:i/>
                <w:iCs/>
                <w:color w:val="000000"/>
              </w:rPr>
              <w:t>Laura Hruby, Chargé d’Affaires, US Embassy in Moldova</w:t>
            </w:r>
          </w:p>
          <w:p>
            <w:pPr>
              <w:spacing w:line="276" w:lineRule="auto"/>
              <w:rPr>
                <w:rFonts w:asciiTheme="majorHAnsi" w:hAnsiTheme="majorHAnsi" w:cstheme="minorHAnsi"/>
                <w:i/>
                <w:iCs/>
                <w:lang w:val="en-US"/>
              </w:rPr>
            </w:pPr>
            <w:r>
              <w:rPr>
                <w:rFonts w:asciiTheme="majorHAnsi" w:hAnsiTheme="majorHAnsi" w:cstheme="minorHAnsi"/>
                <w:i/>
                <w:iCs/>
                <w:color w:val="000000"/>
              </w:rPr>
              <w:t xml:space="preserve">Richard Stern, President, </w:t>
            </w:r>
            <w:r>
              <w:rPr>
                <w:rStyle w:val="19"/>
                <w:rFonts w:asciiTheme="majorHAnsi" w:hAnsiTheme="majorHAnsi" w:cstheme="minorHAnsi"/>
                <w:i/>
                <w:lang w:val="ro-RO"/>
              </w:rPr>
              <w:t>Partnership for Transparency Fund (PTF)</w:t>
            </w:r>
          </w:p>
          <w:p>
            <w:pPr>
              <w:pStyle w:val="24"/>
              <w:spacing w:after="0"/>
              <w:rPr>
                <w:rFonts w:eastAsia="Times New Roman" w:asciiTheme="majorHAnsi" w:hAnsiTheme="majorHAnsi" w:cstheme="minorHAnsi"/>
                <w:sz w:val="12"/>
                <w:szCs w:val="12"/>
                <w:lang w:val="en-US"/>
              </w:rPr>
            </w:pPr>
          </w:p>
          <w:p>
            <w:pPr>
              <w:spacing w:before="60" w:line="276" w:lineRule="auto"/>
              <w:rPr>
                <w:rFonts w:asciiTheme="majorHAnsi" w:hAnsiTheme="majorHAnsi" w:cstheme="minorHAnsi"/>
                <w:b/>
                <w:color w:val="000000"/>
              </w:rPr>
            </w:pPr>
            <w:r>
              <w:rPr>
                <w:rFonts w:asciiTheme="majorHAnsi" w:hAnsiTheme="majorHAnsi" w:cstheme="minorHAnsi"/>
                <w:b/>
                <w:color w:val="000000"/>
              </w:rPr>
              <w:t xml:space="preserve">Project presentation: background, goal and activities  </w:t>
            </w:r>
          </w:p>
          <w:p>
            <w:pPr>
              <w:spacing w:before="60" w:line="276" w:lineRule="auto"/>
              <w:rPr>
                <w:rFonts w:asciiTheme="majorHAnsi" w:hAnsiTheme="majorHAnsi" w:cstheme="minorHAnsi"/>
                <w:i/>
                <w:iCs/>
                <w:lang w:val="en-US"/>
              </w:rPr>
            </w:pPr>
            <w:r>
              <w:rPr>
                <w:rFonts w:asciiTheme="majorHAnsi" w:hAnsiTheme="majorHAnsi" w:cstheme="minorHAnsi"/>
                <w:i/>
                <w:iCs/>
              </w:rPr>
              <w:t>Karin Millett, Project Manager,</w:t>
            </w:r>
            <w:r>
              <w:rPr>
                <w:iCs/>
              </w:rPr>
              <w:t xml:space="preserve"> </w:t>
            </w:r>
            <w:r>
              <w:rPr>
                <w:i/>
              </w:rPr>
              <w:t>PTF</w:t>
            </w:r>
          </w:p>
          <w:p>
            <w:pPr>
              <w:spacing w:line="276" w:lineRule="auto"/>
              <w:jc w:val="both"/>
              <w:rPr>
                <w:rFonts w:asciiTheme="majorHAnsi" w:hAnsiTheme="majorHAnsi"/>
                <w:i/>
                <w:iCs/>
                <w:lang w:val="en-US"/>
              </w:rPr>
            </w:pPr>
            <w:r>
              <w:rPr>
                <w:rFonts w:asciiTheme="majorHAnsi" w:hAnsiTheme="majorHAnsi" w:cstheme="minorHAnsi"/>
                <w:i/>
                <w:iCs/>
              </w:rPr>
              <w:t xml:space="preserve">Carolina Ungureanu, Project Manager, IDIS </w:t>
            </w:r>
            <w:r>
              <w:rPr>
                <w:rStyle w:val="19"/>
                <w:rFonts w:asciiTheme="majorHAnsi" w:hAnsiTheme="majorHAnsi" w:cstheme="minorHAnsi"/>
                <w:i/>
                <w:iCs/>
                <w:lang w:val="ro-RO"/>
              </w:rPr>
              <w:t>"</w:t>
            </w:r>
            <w:r>
              <w:rPr>
                <w:rFonts w:asciiTheme="majorHAnsi" w:hAnsiTheme="majorHAnsi" w:cstheme="minorHAnsi"/>
                <w:i/>
                <w:iCs/>
              </w:rPr>
              <w:t>Viitorul</w:t>
            </w:r>
          </w:p>
          <w:p>
            <w:pPr>
              <w:spacing w:line="276" w:lineRule="auto"/>
              <w:jc w:val="both"/>
              <w:rPr>
                <w:rFonts w:asciiTheme="majorHAnsi" w:hAnsiTheme="majorHAnsi"/>
                <w:sz w:val="20"/>
                <w:szCs w:val="20"/>
                <w:lang w:val="en-US"/>
              </w:rPr>
            </w:pPr>
          </w:p>
        </w:tc>
      </w:tr>
      <w:tr>
        <w:tblPrEx>
          <w:tblCellMar>
            <w:top w:w="0" w:type="dxa"/>
            <w:left w:w="108" w:type="dxa"/>
            <w:bottom w:w="0" w:type="dxa"/>
            <w:right w:w="108" w:type="dxa"/>
          </w:tblCellMar>
        </w:tblPrEx>
        <w:trPr>
          <w:trHeight w:val="425" w:hRule="atLeast"/>
        </w:trPr>
        <w:tc>
          <w:tcPr>
            <w:tcW w:w="1638" w:type="dxa"/>
          </w:tcPr>
          <w:p>
            <w:pPr>
              <w:spacing w:line="276" w:lineRule="auto"/>
              <w:jc w:val="center"/>
              <w:rPr>
                <w:rFonts w:asciiTheme="majorHAnsi" w:hAnsiTheme="majorHAnsi"/>
                <w:b/>
                <w:lang w:val="ro-RO"/>
              </w:rPr>
            </w:pPr>
            <w:r>
              <w:rPr>
                <w:rFonts w:asciiTheme="majorHAnsi" w:hAnsiTheme="majorHAnsi"/>
                <w:lang w:val="ro-RO"/>
              </w:rPr>
              <w:t>10.00 – 10.45</w:t>
            </w:r>
          </w:p>
        </w:tc>
        <w:tc>
          <w:tcPr>
            <w:tcW w:w="8617" w:type="dxa"/>
          </w:tcPr>
          <w:p>
            <w:pPr>
              <w:spacing w:before="40" w:line="276" w:lineRule="auto"/>
              <w:jc w:val="both"/>
              <w:rPr>
                <w:rFonts w:asciiTheme="majorHAnsi" w:hAnsiTheme="majorHAnsi" w:cstheme="minorHAnsi"/>
                <w:b/>
                <w:bCs/>
                <w:color w:val="000000"/>
              </w:rPr>
            </w:pPr>
            <w:r>
              <w:rPr>
                <w:rFonts w:asciiTheme="majorHAnsi" w:hAnsiTheme="majorHAnsi" w:cstheme="minorHAnsi"/>
                <w:b/>
                <w:bCs/>
                <w:color w:val="000000"/>
              </w:rPr>
              <w:t>Session II: Institutional response to improving the public procurement system</w:t>
            </w:r>
          </w:p>
          <w:p>
            <w:pPr>
              <w:spacing w:line="276" w:lineRule="auto"/>
              <w:jc w:val="both"/>
              <w:rPr>
                <w:rFonts w:asciiTheme="majorHAnsi" w:hAnsiTheme="majorHAnsi" w:cstheme="minorHAnsi"/>
                <w:b/>
                <w:bCs/>
                <w:color w:val="000000"/>
                <w:sz w:val="6"/>
                <w:szCs w:val="6"/>
                <w:u w:val="single"/>
              </w:rPr>
            </w:pPr>
          </w:p>
          <w:p>
            <w:pPr>
              <w:spacing w:line="276" w:lineRule="auto"/>
              <w:jc w:val="both"/>
              <w:rPr>
                <w:rFonts w:asciiTheme="majorHAnsi" w:hAnsiTheme="majorHAnsi" w:cstheme="minorHAnsi"/>
                <w:b/>
                <w:bCs/>
                <w:color w:val="000000"/>
                <w:lang w:val="ro-RO"/>
              </w:rPr>
            </w:pPr>
            <w:r>
              <w:rPr>
                <w:rFonts w:asciiTheme="majorHAnsi" w:hAnsiTheme="majorHAnsi" w:cstheme="minorHAnsi"/>
                <w:b/>
                <w:bCs/>
                <w:color w:val="000000"/>
              </w:rPr>
              <w:t xml:space="preserve">Reforms in the public procurement system of Moldova: a commitment to transparency and </w:t>
            </w:r>
            <w:r>
              <w:rPr>
                <w:rFonts w:asciiTheme="majorHAnsi" w:hAnsiTheme="majorHAnsi" w:cstheme="minorHAnsi"/>
                <w:b/>
                <w:bCs/>
                <w:color w:val="000000"/>
                <w:lang w:val="ro-RO"/>
              </w:rPr>
              <w:t>integrity</w:t>
            </w:r>
          </w:p>
          <w:p>
            <w:pPr>
              <w:spacing w:line="276" w:lineRule="auto"/>
              <w:jc w:val="both"/>
              <w:rPr>
                <w:rFonts w:asciiTheme="majorHAnsi" w:hAnsiTheme="majorHAnsi" w:cstheme="minorHAnsi"/>
                <w:b/>
                <w:bCs/>
                <w:color w:val="000000"/>
                <w:sz w:val="12"/>
                <w:szCs w:val="12"/>
                <w:lang w:val="ro-RO"/>
              </w:rPr>
            </w:pPr>
          </w:p>
          <w:p>
            <w:pPr>
              <w:spacing w:line="276" w:lineRule="auto"/>
              <w:rPr>
                <w:rFonts w:asciiTheme="majorHAnsi" w:hAnsiTheme="majorHAnsi" w:cstheme="minorHAnsi"/>
              </w:rPr>
            </w:pPr>
            <w:r>
              <w:rPr>
                <w:rFonts w:asciiTheme="majorHAnsi" w:hAnsiTheme="majorHAnsi" w:cstheme="minorHAnsi"/>
                <w:b/>
                <w:bCs/>
              </w:rPr>
              <w:t>Moderator:</w:t>
            </w:r>
            <w:r>
              <w:rPr>
                <w:rFonts w:asciiTheme="majorHAnsi" w:hAnsiTheme="majorHAnsi" w:cstheme="minorHAnsi"/>
              </w:rPr>
              <w:t xml:space="preserve"> Elena Corman, Procurement Specialist, World Bank in Moldova</w:t>
            </w:r>
          </w:p>
          <w:p>
            <w:pPr>
              <w:spacing w:line="276" w:lineRule="auto"/>
              <w:rPr>
                <w:rFonts w:asciiTheme="majorHAnsi" w:hAnsiTheme="majorHAnsi" w:cstheme="minorHAnsi"/>
                <w:sz w:val="12"/>
                <w:szCs w:val="12"/>
              </w:rPr>
            </w:pPr>
          </w:p>
          <w:p>
            <w:pPr>
              <w:spacing w:line="276" w:lineRule="auto"/>
              <w:rPr>
                <w:rFonts w:asciiTheme="majorHAnsi" w:hAnsiTheme="majorHAnsi" w:cstheme="minorHAnsi"/>
                <w:i/>
                <w:iCs/>
              </w:rPr>
            </w:pPr>
            <w:r>
              <w:rPr>
                <w:rFonts w:asciiTheme="majorHAnsi" w:hAnsiTheme="majorHAnsi" w:cstheme="minorHAnsi"/>
                <w:i/>
                <w:iCs/>
              </w:rPr>
              <w:t>Sergiu Căinăreanu, Head of Public Procurement Division, Ministry of Finance</w:t>
            </w:r>
          </w:p>
          <w:p>
            <w:pPr>
              <w:spacing w:line="276" w:lineRule="auto"/>
              <w:rPr>
                <w:rFonts w:asciiTheme="majorHAnsi" w:hAnsiTheme="majorHAnsi" w:cstheme="minorHAnsi"/>
                <w:i/>
                <w:iCs/>
              </w:rPr>
            </w:pPr>
            <w:r>
              <w:rPr>
                <w:rFonts w:asciiTheme="majorHAnsi" w:hAnsiTheme="majorHAnsi" w:cstheme="minorHAnsi"/>
                <w:i/>
                <w:iCs/>
              </w:rPr>
              <w:t>Ruslan Malai, Director, Public Procurement Agency</w:t>
            </w:r>
            <w:r>
              <w:rPr>
                <w:rFonts w:asciiTheme="majorHAnsi" w:hAnsiTheme="majorHAnsi" w:cstheme="minorHAnsi"/>
                <w:i/>
                <w:iCs/>
                <w:lang w:val="ro-RO"/>
              </w:rPr>
              <w:t xml:space="preserve"> </w:t>
            </w:r>
          </w:p>
          <w:p>
            <w:pPr>
              <w:spacing w:line="276" w:lineRule="auto"/>
              <w:jc w:val="both"/>
              <w:rPr>
                <w:rFonts w:asciiTheme="majorHAnsi" w:hAnsiTheme="majorHAnsi"/>
                <w:bCs/>
                <w:i/>
                <w:iCs/>
                <w:lang w:val="ro-RO"/>
              </w:rPr>
            </w:pPr>
            <w:r>
              <w:rPr>
                <w:rFonts w:asciiTheme="majorHAnsi" w:hAnsiTheme="majorHAnsi" w:cstheme="minorHAnsi"/>
                <w:i/>
                <w:iCs/>
              </w:rPr>
              <w:t>Irina Gutnic, Deputy Director, National Agency for Complaints Settlement</w:t>
            </w:r>
          </w:p>
          <w:p>
            <w:pPr>
              <w:spacing w:line="276" w:lineRule="auto"/>
              <w:jc w:val="both"/>
              <w:rPr>
                <w:rFonts w:asciiTheme="majorHAnsi" w:hAnsiTheme="majorHAnsi"/>
                <w:bCs/>
                <w:i/>
                <w:sz w:val="20"/>
                <w:szCs w:val="20"/>
                <w:lang w:val="ro-RO"/>
              </w:rPr>
            </w:pPr>
          </w:p>
        </w:tc>
      </w:tr>
      <w:tr>
        <w:tblPrEx>
          <w:tblCellMar>
            <w:top w:w="0" w:type="dxa"/>
            <w:left w:w="108" w:type="dxa"/>
            <w:bottom w:w="0" w:type="dxa"/>
            <w:right w:w="108" w:type="dxa"/>
          </w:tblCellMar>
        </w:tblPrEx>
        <w:trPr>
          <w:trHeight w:val="587" w:hRule="atLeast"/>
        </w:trPr>
        <w:tc>
          <w:tcPr>
            <w:tcW w:w="1638" w:type="dxa"/>
          </w:tcPr>
          <w:p>
            <w:pPr>
              <w:spacing w:line="276" w:lineRule="auto"/>
              <w:jc w:val="both"/>
              <w:rPr>
                <w:rFonts w:asciiTheme="majorHAnsi" w:hAnsiTheme="majorHAnsi"/>
                <w:b/>
                <w:lang w:val="ro-RO"/>
              </w:rPr>
            </w:pPr>
            <w:r>
              <w:rPr>
                <w:rFonts w:asciiTheme="majorHAnsi" w:hAnsiTheme="majorHAnsi"/>
                <w:lang w:val="ro-RO"/>
              </w:rPr>
              <w:t>10.45 – 11.45</w:t>
            </w:r>
          </w:p>
        </w:tc>
        <w:tc>
          <w:tcPr>
            <w:tcW w:w="8617" w:type="dxa"/>
          </w:tcPr>
          <w:p>
            <w:pPr>
              <w:spacing w:before="40" w:line="276" w:lineRule="auto"/>
              <w:jc w:val="both"/>
              <w:rPr>
                <w:rFonts w:asciiTheme="majorHAnsi" w:hAnsiTheme="majorHAnsi" w:cstheme="minorHAnsi"/>
                <w:b/>
                <w:lang w:val="ro-RO"/>
              </w:rPr>
            </w:pPr>
            <w:r>
              <w:rPr>
                <w:rFonts w:asciiTheme="majorHAnsi" w:hAnsiTheme="majorHAnsi" w:cstheme="minorHAnsi"/>
                <w:b/>
                <w:bCs/>
                <w:color w:val="000000"/>
              </w:rPr>
              <w:t xml:space="preserve">Session III: Civil society response to improving the procurement system. </w:t>
            </w:r>
            <w:r>
              <w:rPr>
                <w:rFonts w:asciiTheme="majorHAnsi" w:hAnsiTheme="majorHAnsi" w:cstheme="minorHAnsi"/>
                <w:b/>
              </w:rPr>
              <w:t>Experiences in making public procurement more transparent</w:t>
            </w:r>
            <w:r>
              <w:rPr>
                <w:rFonts w:asciiTheme="majorHAnsi" w:hAnsiTheme="majorHAnsi" w:cstheme="minorHAnsi"/>
                <w:b/>
                <w:lang w:val="ro-RO"/>
              </w:rPr>
              <w:t xml:space="preserve"> and efficient</w:t>
            </w:r>
          </w:p>
          <w:p>
            <w:pPr>
              <w:spacing w:before="40" w:line="276" w:lineRule="auto"/>
              <w:jc w:val="both"/>
              <w:rPr>
                <w:rFonts w:asciiTheme="majorHAnsi" w:hAnsiTheme="majorHAnsi" w:cstheme="minorHAnsi"/>
                <w:b/>
                <w:bCs/>
                <w:color w:val="000000"/>
                <w:sz w:val="12"/>
                <w:szCs w:val="12"/>
              </w:rPr>
            </w:pPr>
          </w:p>
          <w:p>
            <w:pPr>
              <w:spacing w:line="276" w:lineRule="auto"/>
              <w:rPr>
                <w:rFonts w:asciiTheme="majorHAnsi" w:hAnsiTheme="majorHAnsi" w:cstheme="minorHAnsi"/>
              </w:rPr>
            </w:pPr>
            <w:r>
              <w:rPr>
                <w:rFonts w:asciiTheme="majorHAnsi" w:hAnsiTheme="majorHAnsi" w:cstheme="minorHAnsi"/>
                <w:b/>
                <w:bCs/>
              </w:rPr>
              <w:t>Moderator:</w:t>
            </w:r>
            <w:r>
              <w:rPr>
                <w:rFonts w:asciiTheme="majorHAnsi" w:hAnsiTheme="majorHAnsi" w:cstheme="minorHAnsi"/>
              </w:rPr>
              <w:t xml:space="preserve"> Viktor Nestulia,</w:t>
            </w:r>
            <w:r>
              <w:rPr>
                <w:rFonts w:asciiTheme="majorHAnsi" w:hAnsiTheme="majorHAnsi" w:cstheme="minorHAnsi"/>
                <w:lang w:val="en-US"/>
              </w:rPr>
              <w:t xml:space="preserve"> </w:t>
            </w:r>
            <w:r>
              <w:rPr>
                <w:rFonts w:asciiTheme="majorHAnsi" w:hAnsiTheme="majorHAnsi"/>
              </w:rPr>
              <w:t>Head of Eastern Europe and Central Asia</w:t>
            </w:r>
            <w:r>
              <w:rPr>
                <w:rFonts w:asciiTheme="majorHAnsi" w:hAnsiTheme="majorHAnsi" w:cstheme="minorHAnsi"/>
              </w:rPr>
              <w:t>, Open Contracting Partnership</w:t>
            </w:r>
          </w:p>
          <w:p>
            <w:pPr>
              <w:spacing w:line="276" w:lineRule="auto"/>
              <w:rPr>
                <w:rFonts w:asciiTheme="majorHAnsi" w:hAnsiTheme="majorHAnsi" w:cstheme="minorHAnsi"/>
                <w:sz w:val="12"/>
                <w:szCs w:val="12"/>
              </w:rPr>
            </w:pPr>
          </w:p>
          <w:p>
            <w:pPr>
              <w:spacing w:line="276" w:lineRule="auto"/>
              <w:rPr>
                <w:rFonts w:asciiTheme="majorHAnsi" w:hAnsiTheme="majorHAnsi" w:cstheme="minorHAnsi"/>
                <w:i/>
                <w:iCs/>
              </w:rPr>
            </w:pPr>
            <w:r>
              <w:rPr>
                <w:rFonts w:asciiTheme="majorHAnsi" w:hAnsiTheme="majorHAnsi" w:cstheme="minorHAnsi"/>
                <w:i/>
                <w:iCs/>
              </w:rPr>
              <w:t>Lilia Carasciuc, Executive Director, Transparency International Moldova</w:t>
            </w:r>
          </w:p>
          <w:p>
            <w:pPr>
              <w:spacing w:line="276" w:lineRule="auto"/>
              <w:rPr>
                <w:rFonts w:asciiTheme="majorHAnsi" w:hAnsiTheme="majorHAnsi" w:cstheme="minorHAnsi"/>
                <w:i/>
                <w:iCs/>
              </w:rPr>
            </w:pPr>
            <w:r>
              <w:rPr>
                <w:rFonts w:asciiTheme="majorHAnsi" w:hAnsiTheme="majorHAnsi" w:cstheme="minorHAnsi"/>
                <w:i/>
                <w:iCs/>
              </w:rPr>
              <w:t>Diana Enachi, Project coordinator, Expert in public procurement, IDIS „Viitorul”</w:t>
            </w:r>
          </w:p>
          <w:p>
            <w:pPr>
              <w:spacing w:line="276" w:lineRule="auto"/>
              <w:rPr>
                <w:rFonts w:hint="default" w:asciiTheme="majorHAnsi" w:hAnsiTheme="majorHAnsi" w:cstheme="minorHAnsi"/>
                <w:i/>
                <w:iCs/>
                <w:lang w:val="ro-RO"/>
              </w:rPr>
            </w:pPr>
            <w:r>
              <w:rPr>
                <w:rFonts w:asciiTheme="majorHAnsi" w:hAnsiTheme="majorHAnsi" w:cstheme="minorHAnsi"/>
                <w:i/>
                <w:iCs/>
              </w:rPr>
              <w:t>Maria Covalciuc, President, A</w:t>
            </w:r>
            <w:r>
              <w:rPr>
                <w:rFonts w:hint="default" w:asciiTheme="majorHAnsi" w:hAnsiTheme="majorHAnsi" w:cstheme="minorHAnsi"/>
                <w:i/>
                <w:iCs/>
                <w:lang w:val="ro-RO"/>
              </w:rPr>
              <w:t>ssociation for Efficient and Responsible Governance</w:t>
            </w:r>
          </w:p>
          <w:p>
            <w:pPr>
              <w:spacing w:line="276" w:lineRule="auto"/>
              <w:jc w:val="both"/>
              <w:rPr>
                <w:rFonts w:asciiTheme="majorHAnsi" w:hAnsiTheme="majorHAnsi"/>
                <w:b/>
                <w:lang w:val="en-US"/>
              </w:rPr>
            </w:pPr>
            <w:r>
              <w:rPr>
                <w:rFonts w:hint="default" w:asciiTheme="majorHAnsi" w:hAnsiTheme="majorHAnsi" w:cstheme="minorHAnsi"/>
                <w:i/>
                <w:iCs/>
                <w:lang w:val="ro-RO"/>
              </w:rPr>
              <w:t>Evghenii Goloșceapov</w:t>
            </w:r>
            <w:r>
              <w:rPr>
                <w:rFonts w:asciiTheme="majorHAnsi" w:hAnsiTheme="majorHAnsi" w:cstheme="minorHAnsi"/>
                <w:i/>
                <w:iCs/>
              </w:rPr>
              <w:t xml:space="preserve">, </w:t>
            </w:r>
            <w:r>
              <w:rPr>
                <w:rFonts w:hint="default" w:asciiTheme="majorHAnsi" w:hAnsiTheme="majorHAnsi" w:cstheme="minorHAnsi"/>
                <w:i/>
                <w:iCs/>
                <w:lang w:val="ro-RO"/>
              </w:rPr>
              <w:t>human rights and legislation consultant,</w:t>
            </w:r>
            <w:r>
              <w:rPr>
                <w:rFonts w:asciiTheme="majorHAnsi" w:hAnsiTheme="majorHAnsi" w:cstheme="minorHAnsi"/>
                <w:i/>
                <w:iCs/>
              </w:rPr>
              <w:t xml:space="preserve"> AO „Initiativa Pozitiva”</w:t>
            </w:r>
            <w:bookmarkStart w:id="0" w:name="_GoBack"/>
            <w:bookmarkEnd w:id="0"/>
          </w:p>
        </w:tc>
      </w:tr>
      <w:tr>
        <w:tblPrEx>
          <w:tblCellMar>
            <w:top w:w="0" w:type="dxa"/>
            <w:left w:w="108" w:type="dxa"/>
            <w:bottom w:w="0" w:type="dxa"/>
            <w:right w:w="108" w:type="dxa"/>
          </w:tblCellMar>
        </w:tblPrEx>
        <w:trPr>
          <w:trHeight w:val="587" w:hRule="atLeast"/>
        </w:trPr>
        <w:tc>
          <w:tcPr>
            <w:tcW w:w="1638" w:type="dxa"/>
          </w:tcPr>
          <w:p>
            <w:pPr>
              <w:spacing w:line="276" w:lineRule="auto"/>
              <w:jc w:val="both"/>
              <w:rPr>
                <w:rFonts w:asciiTheme="majorHAnsi" w:hAnsiTheme="majorHAnsi"/>
                <w:lang w:val="ro-RO"/>
              </w:rPr>
            </w:pPr>
            <w:r>
              <w:rPr>
                <w:rFonts w:asciiTheme="majorHAnsi" w:hAnsiTheme="majorHAnsi"/>
                <w:lang w:val="ro-RO"/>
              </w:rPr>
              <w:t>11.45 – 12.00</w:t>
            </w:r>
          </w:p>
        </w:tc>
        <w:tc>
          <w:tcPr>
            <w:tcW w:w="8617" w:type="dxa"/>
          </w:tcPr>
          <w:p>
            <w:pPr>
              <w:spacing w:before="40" w:line="276" w:lineRule="auto"/>
              <w:jc w:val="both"/>
              <w:rPr>
                <w:rFonts w:asciiTheme="majorHAnsi" w:hAnsiTheme="majorHAnsi" w:cstheme="minorHAnsi"/>
                <w:b/>
                <w:bCs/>
                <w:color w:val="000000"/>
              </w:rPr>
            </w:pPr>
            <w:r>
              <w:rPr>
                <w:rFonts w:asciiTheme="majorHAnsi" w:hAnsiTheme="majorHAnsi" w:cstheme="minorHAnsi"/>
                <w:b/>
                <w:bCs/>
                <w:color w:val="000000"/>
              </w:rPr>
              <w:t>Closing of the conference. Question and answers session</w:t>
            </w:r>
          </w:p>
          <w:p>
            <w:pPr>
              <w:spacing w:before="40" w:line="276" w:lineRule="auto"/>
              <w:jc w:val="both"/>
              <w:rPr>
                <w:rFonts w:asciiTheme="majorHAnsi" w:hAnsiTheme="majorHAnsi" w:cstheme="minorHAnsi"/>
                <w:bCs/>
                <w:sz w:val="12"/>
                <w:szCs w:val="12"/>
                <w:u w:val="single"/>
              </w:rPr>
            </w:pPr>
          </w:p>
          <w:p>
            <w:pPr>
              <w:spacing w:line="276" w:lineRule="auto"/>
              <w:jc w:val="both"/>
              <w:rPr>
                <w:rFonts w:asciiTheme="majorHAnsi" w:hAnsiTheme="majorHAnsi"/>
                <w:b/>
                <w:lang w:val="en-US"/>
              </w:rPr>
            </w:pPr>
            <w:r>
              <w:rPr>
                <w:rFonts w:asciiTheme="majorHAnsi" w:hAnsiTheme="majorHAnsi" w:cstheme="minorHAnsi"/>
                <w:b/>
                <w:bCs/>
              </w:rPr>
              <w:t>Moderator:</w:t>
            </w:r>
            <w:r>
              <w:rPr>
                <w:rFonts w:asciiTheme="majorHAnsi" w:hAnsiTheme="majorHAnsi" w:cstheme="minorHAnsi"/>
              </w:rPr>
              <w:t xml:space="preserve"> </w:t>
            </w:r>
            <w:r>
              <w:rPr>
                <w:rFonts w:asciiTheme="majorHAnsi" w:hAnsiTheme="majorHAnsi" w:cstheme="minorHAnsi"/>
                <w:i/>
                <w:iCs/>
              </w:rPr>
              <w:t>Diana Enachi, Project Coordinator,</w:t>
            </w:r>
            <w:r>
              <w:rPr>
                <w:rFonts w:asciiTheme="majorHAnsi" w:hAnsiTheme="majorHAnsi" w:cstheme="minorHAnsi"/>
                <w:i/>
                <w:iCs/>
                <w:lang w:val="ro-RO"/>
              </w:rPr>
              <w:t xml:space="preserve"> </w:t>
            </w:r>
            <w:r>
              <w:rPr>
                <w:rFonts w:asciiTheme="majorHAnsi" w:hAnsiTheme="majorHAnsi" w:cstheme="minorHAnsi"/>
                <w:bCs/>
                <w:i/>
                <w:iCs/>
              </w:rPr>
              <w:t>IDIS “</w:t>
            </w:r>
            <w:r>
              <w:rPr>
                <w:rFonts w:asciiTheme="majorHAnsi" w:hAnsiTheme="majorHAnsi" w:cstheme="minorHAnsi"/>
                <w:bCs/>
                <w:i/>
                <w:iCs/>
                <w:lang w:val="en-US"/>
              </w:rPr>
              <w:t>Viitorul"</w:t>
            </w:r>
          </w:p>
        </w:tc>
      </w:tr>
    </w:tbl>
    <w:p>
      <w:pPr>
        <w:spacing w:line="276" w:lineRule="auto"/>
        <w:jc w:val="both"/>
        <w:rPr>
          <w:rFonts w:ascii="Cambria" w:hAnsi="Cambria" w:cs="Arial"/>
          <w:i/>
          <w:iCs/>
          <w:sz w:val="22"/>
          <w:szCs w:val="22"/>
          <w:shd w:val="clear" w:color="auto" w:fill="FFFFFF"/>
        </w:rPr>
      </w:pPr>
      <w:r>
        <w:rPr>
          <w:rFonts w:ascii="Cambria" w:hAnsi="Cambria" w:cs="Arial"/>
          <w:i/>
          <w:iCs/>
          <w:sz w:val="22"/>
          <w:szCs w:val="22"/>
          <w:shd w:val="clear" w:color="auto" w:fill="FFFFFF"/>
        </w:rPr>
        <w:br w:type="textWrapping" w:clear="all"/>
      </w:r>
    </w:p>
    <w:p>
      <w:pPr>
        <w:spacing w:line="276" w:lineRule="auto"/>
        <w:jc w:val="both"/>
        <w:rPr>
          <w:rStyle w:val="19"/>
          <w:rFonts w:ascii="Cambria" w:hAnsi="Cambria" w:cs="Arial"/>
          <w:i/>
          <w:sz w:val="22"/>
          <w:szCs w:val="22"/>
          <w:lang w:val="ro-RO"/>
        </w:rPr>
      </w:pPr>
    </w:p>
    <w:p>
      <w:pPr>
        <w:spacing w:line="276" w:lineRule="auto"/>
        <w:jc w:val="both"/>
        <w:rPr>
          <w:rStyle w:val="19"/>
          <w:rFonts w:ascii="Cambria" w:hAnsi="Cambria" w:cs="Arial"/>
          <w:i/>
          <w:sz w:val="22"/>
          <w:szCs w:val="22"/>
          <w:lang w:val="ro-RO"/>
        </w:rPr>
      </w:pPr>
    </w:p>
    <w:p>
      <w:pPr>
        <w:spacing w:line="276" w:lineRule="auto"/>
        <w:jc w:val="both"/>
        <w:rPr>
          <w:rStyle w:val="19"/>
          <w:rFonts w:ascii="Cambria" w:hAnsi="Cambria" w:cs="Arial"/>
          <w:i/>
          <w:sz w:val="22"/>
          <w:szCs w:val="22"/>
          <w:lang w:val="ro-RO"/>
        </w:rPr>
      </w:pPr>
    </w:p>
    <w:p>
      <w:pPr>
        <w:spacing w:line="276" w:lineRule="auto"/>
        <w:jc w:val="both"/>
        <w:rPr>
          <w:rStyle w:val="19"/>
          <w:rFonts w:ascii="Cambria" w:hAnsi="Cambria" w:cs="Arial"/>
          <w:i/>
          <w:sz w:val="22"/>
          <w:szCs w:val="22"/>
          <w:lang w:val="ro-RO"/>
        </w:rPr>
      </w:pPr>
    </w:p>
    <w:p>
      <w:pPr>
        <w:spacing w:line="276" w:lineRule="auto"/>
        <w:jc w:val="both"/>
        <w:rPr>
          <w:rStyle w:val="19"/>
          <w:rFonts w:cs="Arial" w:asciiTheme="majorHAnsi" w:hAnsiTheme="majorHAnsi"/>
          <w:i/>
          <w:sz w:val="23"/>
          <w:szCs w:val="23"/>
          <w:lang w:val="ro-RO"/>
        </w:rPr>
      </w:pPr>
    </w:p>
    <w:p>
      <w:pPr>
        <w:spacing w:before="240"/>
        <w:jc w:val="both"/>
        <w:rPr>
          <w:rFonts w:asciiTheme="majorHAnsi" w:hAnsiTheme="majorHAnsi" w:cstheme="minorHAnsi"/>
          <w:i/>
          <w:sz w:val="22"/>
          <w:szCs w:val="22"/>
        </w:rPr>
      </w:pPr>
      <w:r>
        <w:rPr>
          <w:rStyle w:val="19"/>
          <w:rFonts w:asciiTheme="majorHAnsi" w:hAnsiTheme="majorHAnsi" w:cstheme="minorHAnsi"/>
          <w:i/>
          <w:sz w:val="22"/>
          <w:szCs w:val="22"/>
          <w:lang w:val="ro-RO"/>
        </w:rPr>
        <w:t xml:space="preserve">The event takes place within the poject </w:t>
      </w:r>
      <w:r>
        <w:fldChar w:fldCharType="begin"/>
      </w:r>
      <w:r>
        <w:instrText xml:space="preserve"> HYPERLINK "http://viitorul.org/en/content/integrity-public-procurement-moldova" </w:instrText>
      </w:r>
      <w:r>
        <w:fldChar w:fldCharType="separate"/>
      </w:r>
      <w:r>
        <w:rPr>
          <w:rStyle w:val="11"/>
          <w:rFonts w:asciiTheme="majorHAnsi" w:hAnsiTheme="majorHAnsi" w:cstheme="minorHAnsi"/>
          <w:i/>
          <w:sz w:val="22"/>
          <w:szCs w:val="22"/>
          <w:lang w:val="ro-RO"/>
        </w:rPr>
        <w:t>“Increasing the integrity in public procurement”,</w:t>
      </w:r>
      <w:r>
        <w:rPr>
          <w:rStyle w:val="11"/>
          <w:rFonts w:asciiTheme="majorHAnsi" w:hAnsiTheme="majorHAnsi" w:cstheme="minorHAnsi"/>
          <w:i/>
          <w:sz w:val="22"/>
          <w:szCs w:val="22"/>
          <w:lang w:val="ro-RO"/>
        </w:rPr>
        <w:fldChar w:fldCharType="end"/>
      </w:r>
      <w:r>
        <w:rPr>
          <w:rStyle w:val="19"/>
          <w:rFonts w:asciiTheme="majorHAnsi" w:hAnsiTheme="majorHAnsi" w:cstheme="minorHAnsi"/>
          <w:i/>
          <w:sz w:val="22"/>
          <w:szCs w:val="22"/>
          <w:lang w:val="ro-RO"/>
        </w:rPr>
        <w:t xml:space="preserve"> implemented by Institute for Development and Social Initiatives (IDIS) "Viitorul", in partnership with Partnership for Transparency Fund (PTF). It aims to support procurement reforms in Moldova that will increase transparency and fairness of public procurement through empowering citizens to hold relevant institutions accountable. This will be accomplished through training civil society organizations to serve as watchdogs by monitoring public procurement.</w:t>
      </w:r>
    </w:p>
    <w:p>
      <w:pPr>
        <w:pStyle w:val="9"/>
        <w:spacing w:line="276" w:lineRule="auto"/>
        <w:jc w:val="both"/>
        <w:rPr>
          <w:rFonts w:ascii="Cambria" w:hAnsi="Cambria"/>
          <w:i/>
          <w:sz w:val="22"/>
          <w:szCs w:val="22"/>
        </w:rPr>
      </w:pPr>
    </w:p>
    <w:p>
      <w:pPr>
        <w:pStyle w:val="9"/>
        <w:spacing w:line="276" w:lineRule="auto"/>
        <w:jc w:val="both"/>
        <w:rPr>
          <w:rFonts w:ascii="Cambria" w:hAnsi="Cambria"/>
          <w:i/>
          <w:sz w:val="22"/>
          <w:szCs w:val="22"/>
        </w:rPr>
      </w:pPr>
    </w:p>
    <w:p>
      <w:pPr>
        <w:pStyle w:val="9"/>
        <w:spacing w:line="276" w:lineRule="auto"/>
        <w:jc w:val="both"/>
        <w:rPr>
          <w:rFonts w:ascii="Cambria" w:hAnsi="Cambria"/>
          <w:i/>
          <w:sz w:val="22"/>
          <w:szCs w:val="22"/>
        </w:rPr>
      </w:pPr>
    </w:p>
    <w:p>
      <w:pPr>
        <w:pStyle w:val="9"/>
        <w:spacing w:line="276" w:lineRule="auto"/>
        <w:jc w:val="both"/>
        <w:rPr>
          <w:rFonts w:ascii="Cambria" w:hAnsi="Cambria"/>
          <w:i/>
          <w:sz w:val="22"/>
          <w:szCs w:val="22"/>
        </w:rPr>
      </w:pP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10"/>
        <w:gridCol w:w="53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10" w:type="dxa"/>
          </w:tcPr>
          <w:p>
            <w:pPr>
              <w:pStyle w:val="9"/>
              <w:spacing w:line="276" w:lineRule="auto"/>
              <w:jc w:val="center"/>
              <w:rPr>
                <w:rFonts w:ascii="Cambria" w:hAnsi="Cambria"/>
                <w:i/>
                <w:sz w:val="22"/>
                <w:szCs w:val="22"/>
              </w:rPr>
            </w:pPr>
            <w:r>
              <w:rPr>
                <w:lang w:val="ro-RO" w:eastAsia="ro-RO"/>
              </w:rPr>
              <w:drawing>
                <wp:inline distT="0" distB="0" distL="0" distR="0">
                  <wp:extent cx="1733550" cy="471170"/>
                  <wp:effectExtent l="0" t="0" r="0" b="5080"/>
                  <wp:docPr id="22" name="Picture 1" descr="F:\ACHIZITII 2021\Buletin\diana\final\PT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F:\ACHIZITII 2021\Buletin\diana\final\PTF logo.png"/>
                          <pic:cNvPicPr>
                            <a:picLocks noChangeAspect="1" noChangeArrowheads="1"/>
                          </pic:cNvPicPr>
                        </pic:nvPicPr>
                        <pic:blipFill>
                          <a:blip r:embed="rId5"/>
                          <a:srcRect/>
                          <a:stretch>
                            <a:fillRect/>
                          </a:stretch>
                        </pic:blipFill>
                        <pic:spPr>
                          <a:xfrm>
                            <a:off x="0" y="0"/>
                            <a:ext cx="1742700" cy="474182"/>
                          </a:xfrm>
                          <a:prstGeom prst="rect">
                            <a:avLst/>
                          </a:prstGeom>
                          <a:noFill/>
                          <a:ln w="9525">
                            <a:noFill/>
                            <a:miter lim="800000"/>
                            <a:headEnd/>
                            <a:tailEnd/>
                          </a:ln>
                        </pic:spPr>
                      </pic:pic>
                    </a:graphicData>
                  </a:graphic>
                </wp:inline>
              </w:drawing>
            </w:r>
          </w:p>
        </w:tc>
        <w:tc>
          <w:tcPr>
            <w:tcW w:w="5311" w:type="dxa"/>
          </w:tcPr>
          <w:p>
            <w:pPr>
              <w:pStyle w:val="9"/>
              <w:spacing w:line="276" w:lineRule="auto"/>
              <w:jc w:val="both"/>
              <w:rPr>
                <w:rFonts w:ascii="Cambria" w:hAnsi="Cambria"/>
                <w:i/>
                <w:sz w:val="22"/>
                <w:szCs w:val="22"/>
              </w:rPr>
            </w:pPr>
            <w:r>
              <w:rPr>
                <w:lang w:val="ro-RO" w:eastAsia="ro-RO"/>
              </w:rPr>
              <w:drawing>
                <wp:anchor distT="0" distB="0" distL="114300" distR="114300" simplePos="0" relativeHeight="251660288" behindDoc="0" locked="0" layoutInCell="1" allowOverlap="1">
                  <wp:simplePos x="0" y="0"/>
                  <wp:positionH relativeFrom="margin">
                    <wp:posOffset>1343025</wp:posOffset>
                  </wp:positionH>
                  <wp:positionV relativeFrom="margin">
                    <wp:posOffset>0</wp:posOffset>
                  </wp:positionV>
                  <wp:extent cx="563245" cy="666750"/>
                  <wp:effectExtent l="0" t="0" r="8255" b="0"/>
                  <wp:wrapSquare wrapText="bothSides"/>
                  <wp:docPr id="23" name="Imagine 1" descr="Descriere: Descriere: logo-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ine 1" descr="Descriere: Descriere: logo-site"/>
                          <pic:cNvPicPr>
                            <a:picLocks noChangeAspect="1" noChangeArrowheads="1"/>
                          </pic:cNvPicPr>
                        </pic:nvPicPr>
                        <pic:blipFill>
                          <a:blip r:embed="rId6"/>
                          <a:srcRect/>
                          <a:stretch>
                            <a:fillRect/>
                          </a:stretch>
                        </pic:blipFill>
                        <pic:spPr>
                          <a:xfrm>
                            <a:off x="0" y="0"/>
                            <a:ext cx="563245" cy="666750"/>
                          </a:xfrm>
                          <a:prstGeom prst="rect">
                            <a:avLst/>
                          </a:prstGeom>
                          <a:noFill/>
                          <a:ln w="9525">
                            <a:noFill/>
                            <a:miter lim="800000"/>
                            <a:headEnd/>
                            <a:tailEnd/>
                          </a:ln>
                        </pic:spPr>
                      </pic:pic>
                    </a:graphicData>
                  </a:graphic>
                </wp:anchor>
              </w:drawing>
            </w:r>
          </w:p>
        </w:tc>
      </w:tr>
    </w:tbl>
    <w:p>
      <w:pPr>
        <w:pStyle w:val="9"/>
        <w:spacing w:line="276" w:lineRule="auto"/>
        <w:jc w:val="both"/>
        <w:rPr>
          <w:rFonts w:ascii="Cambria" w:hAnsi="Cambria"/>
          <w:i/>
          <w:sz w:val="22"/>
          <w:szCs w:val="22"/>
        </w:rPr>
      </w:pPr>
    </w:p>
    <w:sectPr>
      <w:headerReference r:id="rId3" w:type="default"/>
      <w:pgSz w:w="11906" w:h="16838"/>
      <w:pgMar w:top="1820" w:right="424" w:bottom="142" w:left="851" w:header="450"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lang w:val="ro-RO" w:eastAsia="ro-RO"/>
      </w:rPr>
      <w:drawing>
        <wp:anchor distT="0" distB="0" distL="114300" distR="114300" simplePos="0" relativeHeight="251659264" behindDoc="0" locked="0" layoutInCell="1" allowOverlap="1">
          <wp:simplePos x="0" y="0"/>
          <wp:positionH relativeFrom="margin">
            <wp:posOffset>5565140</wp:posOffset>
          </wp:positionH>
          <wp:positionV relativeFrom="margin">
            <wp:posOffset>-998220</wp:posOffset>
          </wp:positionV>
          <wp:extent cx="563245" cy="666750"/>
          <wp:effectExtent l="0" t="0" r="8255" b="0"/>
          <wp:wrapSquare wrapText="bothSides"/>
          <wp:docPr id="20" name="Imagine 1" descr="Descriere: Descriere: logo-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ine 1" descr="Descriere: Descriere: logo-site"/>
                  <pic:cNvPicPr>
                    <a:picLocks noChangeAspect="1" noChangeArrowheads="1"/>
                  </pic:cNvPicPr>
                </pic:nvPicPr>
                <pic:blipFill>
                  <a:blip r:embed="rId1"/>
                  <a:srcRect/>
                  <a:stretch>
                    <a:fillRect/>
                  </a:stretch>
                </pic:blipFill>
                <pic:spPr>
                  <a:xfrm>
                    <a:off x="0" y="0"/>
                    <a:ext cx="563245" cy="666750"/>
                  </a:xfrm>
                  <a:prstGeom prst="rect">
                    <a:avLst/>
                  </a:prstGeom>
                  <a:noFill/>
                  <a:ln w="9525">
                    <a:noFill/>
                    <a:miter lim="800000"/>
                    <a:headEnd/>
                    <a:tailEnd/>
                  </a:ln>
                </pic:spPr>
              </pic:pic>
            </a:graphicData>
          </a:graphic>
        </wp:anchor>
      </w:drawing>
    </w:r>
    <w:r>
      <w:rPr>
        <w:lang w:val="ro-RO" w:eastAsia="ro-RO"/>
      </w:rPr>
      <w:drawing>
        <wp:inline distT="0" distB="0" distL="0" distR="0">
          <wp:extent cx="1733550" cy="471170"/>
          <wp:effectExtent l="0" t="0" r="0" b="5080"/>
          <wp:docPr id="21" name="Picture 1" descr="F:\ACHIZITII 2021\Buletin\diana\final\PT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descr="F:\ACHIZITII 2021\Buletin\diana\final\PTF logo.png"/>
                  <pic:cNvPicPr>
                    <a:picLocks noChangeAspect="1" noChangeArrowheads="1"/>
                  </pic:cNvPicPr>
                </pic:nvPicPr>
                <pic:blipFill>
                  <a:blip r:embed="rId2"/>
                  <a:srcRect/>
                  <a:stretch>
                    <a:fillRect/>
                  </a:stretch>
                </pic:blipFill>
                <pic:spPr>
                  <a:xfrm>
                    <a:off x="0" y="0"/>
                    <a:ext cx="1742700" cy="474182"/>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E6F"/>
    <w:rsid w:val="000045F2"/>
    <w:rsid w:val="00007D73"/>
    <w:rsid w:val="00013182"/>
    <w:rsid w:val="000147E6"/>
    <w:rsid w:val="00017489"/>
    <w:rsid w:val="00032BE4"/>
    <w:rsid w:val="00043DC3"/>
    <w:rsid w:val="00045848"/>
    <w:rsid w:val="00072142"/>
    <w:rsid w:val="00083AB3"/>
    <w:rsid w:val="00085DCB"/>
    <w:rsid w:val="0008650B"/>
    <w:rsid w:val="000878C3"/>
    <w:rsid w:val="000976C7"/>
    <w:rsid w:val="000A259F"/>
    <w:rsid w:val="000A3B58"/>
    <w:rsid w:val="000B6D08"/>
    <w:rsid w:val="000C4E6F"/>
    <w:rsid w:val="000C6881"/>
    <w:rsid w:val="000E0587"/>
    <w:rsid w:val="000E453B"/>
    <w:rsid w:val="000F4997"/>
    <w:rsid w:val="000F531C"/>
    <w:rsid w:val="001018A3"/>
    <w:rsid w:val="00110D6E"/>
    <w:rsid w:val="00117E8E"/>
    <w:rsid w:val="00125F1F"/>
    <w:rsid w:val="00126AC7"/>
    <w:rsid w:val="00155304"/>
    <w:rsid w:val="0015602A"/>
    <w:rsid w:val="0017728E"/>
    <w:rsid w:val="00177A39"/>
    <w:rsid w:val="00190856"/>
    <w:rsid w:val="00191761"/>
    <w:rsid w:val="001A4767"/>
    <w:rsid w:val="001B4F0C"/>
    <w:rsid w:val="001E174F"/>
    <w:rsid w:val="001F2B7F"/>
    <w:rsid w:val="001F7CD9"/>
    <w:rsid w:val="0020061C"/>
    <w:rsid w:val="00201A10"/>
    <w:rsid w:val="002052A6"/>
    <w:rsid w:val="00206ACC"/>
    <w:rsid w:val="0021181C"/>
    <w:rsid w:val="00214E76"/>
    <w:rsid w:val="002223EF"/>
    <w:rsid w:val="00232C7A"/>
    <w:rsid w:val="00232FA7"/>
    <w:rsid w:val="00235D46"/>
    <w:rsid w:val="00236C68"/>
    <w:rsid w:val="00240ADB"/>
    <w:rsid w:val="002434D7"/>
    <w:rsid w:val="00245BF1"/>
    <w:rsid w:val="00247BFC"/>
    <w:rsid w:val="00272F98"/>
    <w:rsid w:val="002839FA"/>
    <w:rsid w:val="00285E11"/>
    <w:rsid w:val="002928E5"/>
    <w:rsid w:val="002B0CF5"/>
    <w:rsid w:val="002B6791"/>
    <w:rsid w:val="002D3B48"/>
    <w:rsid w:val="002E0A63"/>
    <w:rsid w:val="002E3037"/>
    <w:rsid w:val="003032D5"/>
    <w:rsid w:val="0030523E"/>
    <w:rsid w:val="00335950"/>
    <w:rsid w:val="00351A2E"/>
    <w:rsid w:val="003579D1"/>
    <w:rsid w:val="0036174B"/>
    <w:rsid w:val="00395984"/>
    <w:rsid w:val="003C5534"/>
    <w:rsid w:val="003D6094"/>
    <w:rsid w:val="003E75F4"/>
    <w:rsid w:val="003F0A31"/>
    <w:rsid w:val="003F5B3D"/>
    <w:rsid w:val="0040371F"/>
    <w:rsid w:val="00412242"/>
    <w:rsid w:val="00426016"/>
    <w:rsid w:val="004367E6"/>
    <w:rsid w:val="00444700"/>
    <w:rsid w:val="00447A27"/>
    <w:rsid w:val="00447F47"/>
    <w:rsid w:val="0045334E"/>
    <w:rsid w:val="00475BC3"/>
    <w:rsid w:val="004834A7"/>
    <w:rsid w:val="00483AF7"/>
    <w:rsid w:val="004A2585"/>
    <w:rsid w:val="004C0C93"/>
    <w:rsid w:val="004D06B4"/>
    <w:rsid w:val="004D35C4"/>
    <w:rsid w:val="004E35E3"/>
    <w:rsid w:val="004E52C4"/>
    <w:rsid w:val="004F21AD"/>
    <w:rsid w:val="004F5BF4"/>
    <w:rsid w:val="00504E31"/>
    <w:rsid w:val="00505E23"/>
    <w:rsid w:val="00514669"/>
    <w:rsid w:val="00517F49"/>
    <w:rsid w:val="00520A58"/>
    <w:rsid w:val="005217EF"/>
    <w:rsid w:val="0052325F"/>
    <w:rsid w:val="00526248"/>
    <w:rsid w:val="00535A10"/>
    <w:rsid w:val="00536448"/>
    <w:rsid w:val="00543F75"/>
    <w:rsid w:val="00567682"/>
    <w:rsid w:val="0057052D"/>
    <w:rsid w:val="00580283"/>
    <w:rsid w:val="005A2025"/>
    <w:rsid w:val="005A74DB"/>
    <w:rsid w:val="005B67A3"/>
    <w:rsid w:val="005C3DB5"/>
    <w:rsid w:val="005D24C4"/>
    <w:rsid w:val="005D398D"/>
    <w:rsid w:val="005F497B"/>
    <w:rsid w:val="005F4DDF"/>
    <w:rsid w:val="00602F63"/>
    <w:rsid w:val="00605477"/>
    <w:rsid w:val="006060DF"/>
    <w:rsid w:val="00612B80"/>
    <w:rsid w:val="006179E9"/>
    <w:rsid w:val="00647971"/>
    <w:rsid w:val="0065746D"/>
    <w:rsid w:val="0066740B"/>
    <w:rsid w:val="00696CD9"/>
    <w:rsid w:val="0069762E"/>
    <w:rsid w:val="006A372B"/>
    <w:rsid w:val="006C1DFC"/>
    <w:rsid w:val="006D1504"/>
    <w:rsid w:val="006D26B7"/>
    <w:rsid w:val="006D5F59"/>
    <w:rsid w:val="006D696F"/>
    <w:rsid w:val="006E2469"/>
    <w:rsid w:val="006E3328"/>
    <w:rsid w:val="006E79EC"/>
    <w:rsid w:val="006F4722"/>
    <w:rsid w:val="006F681B"/>
    <w:rsid w:val="00705FC8"/>
    <w:rsid w:val="00715F23"/>
    <w:rsid w:val="007347A7"/>
    <w:rsid w:val="007A224A"/>
    <w:rsid w:val="007A6D82"/>
    <w:rsid w:val="007B39A5"/>
    <w:rsid w:val="007B6435"/>
    <w:rsid w:val="007C6E13"/>
    <w:rsid w:val="007D4129"/>
    <w:rsid w:val="007F4489"/>
    <w:rsid w:val="00802006"/>
    <w:rsid w:val="00821BA9"/>
    <w:rsid w:val="00833D37"/>
    <w:rsid w:val="00837CA3"/>
    <w:rsid w:val="008452D9"/>
    <w:rsid w:val="00852FF9"/>
    <w:rsid w:val="00854392"/>
    <w:rsid w:val="00864B54"/>
    <w:rsid w:val="008674D4"/>
    <w:rsid w:val="00882D23"/>
    <w:rsid w:val="00893BEF"/>
    <w:rsid w:val="00894351"/>
    <w:rsid w:val="00897341"/>
    <w:rsid w:val="008A041B"/>
    <w:rsid w:val="008A13A8"/>
    <w:rsid w:val="008B0B1C"/>
    <w:rsid w:val="008B0BEF"/>
    <w:rsid w:val="008C0250"/>
    <w:rsid w:val="008C4563"/>
    <w:rsid w:val="00900D2E"/>
    <w:rsid w:val="00904CFC"/>
    <w:rsid w:val="00915CB5"/>
    <w:rsid w:val="009306DE"/>
    <w:rsid w:val="009408AD"/>
    <w:rsid w:val="00945924"/>
    <w:rsid w:val="00965915"/>
    <w:rsid w:val="009820DC"/>
    <w:rsid w:val="00987D39"/>
    <w:rsid w:val="00987F9A"/>
    <w:rsid w:val="00992C2E"/>
    <w:rsid w:val="00997BDE"/>
    <w:rsid w:val="009A1334"/>
    <w:rsid w:val="009A3795"/>
    <w:rsid w:val="009B1EA4"/>
    <w:rsid w:val="009B2400"/>
    <w:rsid w:val="009E6F14"/>
    <w:rsid w:val="00A044E6"/>
    <w:rsid w:val="00A10DFC"/>
    <w:rsid w:val="00A17C0B"/>
    <w:rsid w:val="00A2700D"/>
    <w:rsid w:val="00A31519"/>
    <w:rsid w:val="00A35D19"/>
    <w:rsid w:val="00A97892"/>
    <w:rsid w:val="00AA2B7C"/>
    <w:rsid w:val="00AA2FF2"/>
    <w:rsid w:val="00AE4A18"/>
    <w:rsid w:val="00AF6027"/>
    <w:rsid w:val="00B019E3"/>
    <w:rsid w:val="00B040A3"/>
    <w:rsid w:val="00B15F9F"/>
    <w:rsid w:val="00B24BBA"/>
    <w:rsid w:val="00B24BEB"/>
    <w:rsid w:val="00B26ABA"/>
    <w:rsid w:val="00B343D3"/>
    <w:rsid w:val="00B366E1"/>
    <w:rsid w:val="00B4593A"/>
    <w:rsid w:val="00B46D44"/>
    <w:rsid w:val="00B5251E"/>
    <w:rsid w:val="00B57D6E"/>
    <w:rsid w:val="00B60757"/>
    <w:rsid w:val="00B825A0"/>
    <w:rsid w:val="00B954CC"/>
    <w:rsid w:val="00BA56BA"/>
    <w:rsid w:val="00BB2AAB"/>
    <w:rsid w:val="00BB4893"/>
    <w:rsid w:val="00BB78E5"/>
    <w:rsid w:val="00BC11E9"/>
    <w:rsid w:val="00BC637C"/>
    <w:rsid w:val="00BD0576"/>
    <w:rsid w:val="00BE15BA"/>
    <w:rsid w:val="00BE5C1A"/>
    <w:rsid w:val="00BF054E"/>
    <w:rsid w:val="00BF06B8"/>
    <w:rsid w:val="00C040FC"/>
    <w:rsid w:val="00C06CF1"/>
    <w:rsid w:val="00C22523"/>
    <w:rsid w:val="00C246B2"/>
    <w:rsid w:val="00C4056B"/>
    <w:rsid w:val="00C444C6"/>
    <w:rsid w:val="00C46DB8"/>
    <w:rsid w:val="00C6408B"/>
    <w:rsid w:val="00C6591C"/>
    <w:rsid w:val="00C845F4"/>
    <w:rsid w:val="00C902A4"/>
    <w:rsid w:val="00CA5ABB"/>
    <w:rsid w:val="00CB28DA"/>
    <w:rsid w:val="00CB4A19"/>
    <w:rsid w:val="00CD2712"/>
    <w:rsid w:val="00CD2AED"/>
    <w:rsid w:val="00CD6F88"/>
    <w:rsid w:val="00CD78FE"/>
    <w:rsid w:val="00CD79A1"/>
    <w:rsid w:val="00CE362D"/>
    <w:rsid w:val="00CF00B2"/>
    <w:rsid w:val="00CF15F5"/>
    <w:rsid w:val="00CF337C"/>
    <w:rsid w:val="00D05664"/>
    <w:rsid w:val="00D06715"/>
    <w:rsid w:val="00D076B1"/>
    <w:rsid w:val="00D12316"/>
    <w:rsid w:val="00D1579F"/>
    <w:rsid w:val="00D30DAE"/>
    <w:rsid w:val="00D35551"/>
    <w:rsid w:val="00D40D51"/>
    <w:rsid w:val="00D46B0A"/>
    <w:rsid w:val="00D606C3"/>
    <w:rsid w:val="00D62BCF"/>
    <w:rsid w:val="00D724C5"/>
    <w:rsid w:val="00D832A6"/>
    <w:rsid w:val="00D862FE"/>
    <w:rsid w:val="00D91596"/>
    <w:rsid w:val="00D947C7"/>
    <w:rsid w:val="00DA644F"/>
    <w:rsid w:val="00DC283C"/>
    <w:rsid w:val="00DE4CEB"/>
    <w:rsid w:val="00E103E6"/>
    <w:rsid w:val="00E13180"/>
    <w:rsid w:val="00E21709"/>
    <w:rsid w:val="00E21AEB"/>
    <w:rsid w:val="00E23544"/>
    <w:rsid w:val="00E26F59"/>
    <w:rsid w:val="00E47665"/>
    <w:rsid w:val="00E52980"/>
    <w:rsid w:val="00E613D8"/>
    <w:rsid w:val="00E67932"/>
    <w:rsid w:val="00E77C03"/>
    <w:rsid w:val="00E77F3B"/>
    <w:rsid w:val="00E8020F"/>
    <w:rsid w:val="00E8109B"/>
    <w:rsid w:val="00EA56B8"/>
    <w:rsid w:val="00EA7851"/>
    <w:rsid w:val="00EB01CA"/>
    <w:rsid w:val="00EB0374"/>
    <w:rsid w:val="00EB692B"/>
    <w:rsid w:val="00EC4F34"/>
    <w:rsid w:val="00ED0E22"/>
    <w:rsid w:val="00ED5BBB"/>
    <w:rsid w:val="00EE2F24"/>
    <w:rsid w:val="00EE3162"/>
    <w:rsid w:val="00EE6C15"/>
    <w:rsid w:val="00F2152A"/>
    <w:rsid w:val="00F227C0"/>
    <w:rsid w:val="00F25246"/>
    <w:rsid w:val="00F64E37"/>
    <w:rsid w:val="00F6646B"/>
    <w:rsid w:val="00F90537"/>
    <w:rsid w:val="00F94757"/>
    <w:rsid w:val="00FA420B"/>
    <w:rsid w:val="00FC435B"/>
    <w:rsid w:val="00FD0C04"/>
    <w:rsid w:val="00FE40CB"/>
    <w:rsid w:val="00FF7134"/>
    <w:rsid w:val="0DAE7323"/>
    <w:rsid w:val="4DBA266C"/>
    <w:rsid w:val="527003C8"/>
    <w:rsid w:val="5E723FEF"/>
    <w:rsid w:val="60B61C2E"/>
    <w:rsid w:val="69F2533C"/>
    <w:rsid w:val="6A3B387A"/>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cs-CZ" w:eastAsia="cs-CZ" w:bidi="ar-SA"/>
    </w:rPr>
  </w:style>
  <w:style w:type="paragraph" w:styleId="2">
    <w:name w:val="heading 1"/>
    <w:basedOn w:val="1"/>
    <w:next w:val="1"/>
    <w:link w:val="26"/>
    <w:qFormat/>
    <w:uiPriority w:val="9"/>
    <w:pPr>
      <w:keepNext/>
      <w:spacing w:before="240" w:after="60"/>
      <w:outlineLvl w:val="0"/>
    </w:pPr>
    <w:rPr>
      <w:rFonts w:ascii="Cambria" w:hAnsi="Cambria"/>
      <w:b/>
      <w:bCs/>
      <w:kern w:val="32"/>
      <w:sz w:val="32"/>
      <w:szCs w:val="32"/>
    </w:rPr>
  </w:style>
  <w:style w:type="paragraph" w:styleId="3">
    <w:name w:val="heading 4"/>
    <w:basedOn w:val="1"/>
    <w:next w:val="1"/>
    <w:link w:val="25"/>
    <w:qFormat/>
    <w:uiPriority w:val="9"/>
    <w:pPr>
      <w:spacing w:before="100" w:beforeAutospacing="1" w:after="100" w:afterAutospacing="1"/>
      <w:outlineLvl w:val="3"/>
    </w:pPr>
    <w:rPr>
      <w:b/>
      <w:bCs/>
      <w:lang w:val="ro-RO" w:eastAsia="ro-RO"/>
    </w:rPr>
  </w:style>
  <w:style w:type="paragraph" w:styleId="4">
    <w:name w:val="heading 5"/>
    <w:basedOn w:val="1"/>
    <w:next w:val="1"/>
    <w:link w:val="27"/>
    <w:semiHidden/>
    <w:unhideWhenUsed/>
    <w:qFormat/>
    <w:uiPriority w:val="9"/>
    <w:pPr>
      <w:spacing w:before="240" w:after="60"/>
      <w:outlineLvl w:val="4"/>
    </w:pPr>
    <w:rPr>
      <w:rFonts w:ascii="Calibri" w:hAnsi="Calibri"/>
      <w:b/>
      <w:bCs/>
      <w:i/>
      <w:iCs/>
      <w:sz w:val="26"/>
      <w:szCs w:val="26"/>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8"/>
    <w:semiHidden/>
    <w:unhideWhenUsed/>
    <w:qFormat/>
    <w:uiPriority w:val="99"/>
    <w:rPr>
      <w:rFonts w:ascii="Tahoma" w:hAnsi="Tahoma" w:cs="Tahoma"/>
      <w:sz w:val="16"/>
      <w:szCs w:val="16"/>
    </w:rPr>
  </w:style>
  <w:style w:type="character" w:styleId="8">
    <w:name w:val="Emphasis"/>
    <w:qFormat/>
    <w:uiPriority w:val="20"/>
    <w:rPr>
      <w:i/>
      <w:iCs/>
    </w:rPr>
  </w:style>
  <w:style w:type="paragraph" w:styleId="9">
    <w:name w:val="footer"/>
    <w:basedOn w:val="1"/>
    <w:link w:val="17"/>
    <w:unhideWhenUsed/>
    <w:qFormat/>
    <w:uiPriority w:val="99"/>
    <w:pPr>
      <w:tabs>
        <w:tab w:val="center" w:pos="4677"/>
        <w:tab w:val="right" w:pos="9355"/>
      </w:tabs>
    </w:pPr>
  </w:style>
  <w:style w:type="paragraph" w:styleId="10">
    <w:name w:val="header"/>
    <w:basedOn w:val="1"/>
    <w:link w:val="16"/>
    <w:unhideWhenUsed/>
    <w:qFormat/>
    <w:uiPriority w:val="99"/>
    <w:pPr>
      <w:tabs>
        <w:tab w:val="center" w:pos="4677"/>
        <w:tab w:val="right" w:pos="9355"/>
      </w:tabs>
    </w:pPr>
  </w:style>
  <w:style w:type="character" w:styleId="11">
    <w:name w:val="Hyperlink"/>
    <w:unhideWhenUsed/>
    <w:qFormat/>
    <w:uiPriority w:val="99"/>
    <w:rPr>
      <w:color w:val="0000FF"/>
      <w:u w:val="single"/>
    </w:rPr>
  </w:style>
  <w:style w:type="paragraph" w:styleId="12">
    <w:name w:val="Normal (Web)"/>
    <w:basedOn w:val="1"/>
    <w:semiHidden/>
    <w:unhideWhenUsed/>
    <w:qFormat/>
    <w:uiPriority w:val="99"/>
    <w:pPr>
      <w:spacing w:before="100" w:beforeAutospacing="1" w:after="100" w:afterAutospacing="1"/>
    </w:pPr>
    <w:rPr>
      <w:lang w:val="ro-RO" w:eastAsia="ro-RO"/>
    </w:rPr>
  </w:style>
  <w:style w:type="character" w:styleId="13">
    <w:name w:val="Strong"/>
    <w:qFormat/>
    <w:uiPriority w:val="22"/>
    <w:rPr>
      <w:b/>
      <w:bCs/>
    </w:rPr>
  </w:style>
  <w:style w:type="table" w:styleId="14">
    <w:name w:val="Table Grid"/>
    <w:basedOn w:val="6"/>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gd"/>
    <w:qFormat/>
    <w:uiPriority w:val="0"/>
  </w:style>
  <w:style w:type="character" w:customStyle="1" w:styleId="16">
    <w:name w:val="Antet Caracter"/>
    <w:link w:val="10"/>
    <w:qFormat/>
    <w:uiPriority w:val="99"/>
    <w:rPr>
      <w:rFonts w:ascii="Times New Roman" w:hAnsi="Times New Roman" w:eastAsia="Times New Roman" w:cs="Times New Roman"/>
      <w:sz w:val="24"/>
      <w:szCs w:val="24"/>
      <w:lang w:val="cs-CZ" w:eastAsia="cs-CZ"/>
    </w:rPr>
  </w:style>
  <w:style w:type="character" w:customStyle="1" w:styleId="17">
    <w:name w:val="Subsol Caracter"/>
    <w:link w:val="9"/>
    <w:qFormat/>
    <w:uiPriority w:val="99"/>
    <w:rPr>
      <w:rFonts w:ascii="Times New Roman" w:hAnsi="Times New Roman" w:eastAsia="Times New Roman" w:cs="Times New Roman"/>
      <w:sz w:val="24"/>
      <w:szCs w:val="24"/>
      <w:lang w:val="cs-CZ" w:eastAsia="cs-CZ"/>
    </w:rPr>
  </w:style>
  <w:style w:type="character" w:customStyle="1" w:styleId="18">
    <w:name w:val="Text în Balon Caracter"/>
    <w:link w:val="7"/>
    <w:semiHidden/>
    <w:qFormat/>
    <w:uiPriority w:val="99"/>
    <w:rPr>
      <w:rFonts w:ascii="Tahoma" w:hAnsi="Tahoma" w:eastAsia="Times New Roman" w:cs="Tahoma"/>
      <w:sz w:val="16"/>
      <w:szCs w:val="16"/>
      <w:lang w:val="cs-CZ" w:eastAsia="cs-CZ"/>
    </w:rPr>
  </w:style>
  <w:style w:type="character" w:customStyle="1" w:styleId="19">
    <w:name w:val="hps"/>
    <w:qFormat/>
    <w:uiPriority w:val="0"/>
  </w:style>
  <w:style w:type="character" w:customStyle="1" w:styleId="20">
    <w:name w:val="st"/>
    <w:qFormat/>
    <w:uiPriority w:val="0"/>
  </w:style>
  <w:style w:type="character" w:customStyle="1" w:styleId="21">
    <w:name w:val="news-text"/>
    <w:qFormat/>
    <w:uiPriority w:val="0"/>
  </w:style>
  <w:style w:type="character" w:customStyle="1" w:styleId="22">
    <w:name w:val="long_text"/>
    <w:qFormat/>
    <w:uiPriority w:val="0"/>
  </w:style>
  <w:style w:type="character" w:customStyle="1" w:styleId="23">
    <w:name w:val="short_text"/>
    <w:qFormat/>
    <w:uiPriority w:val="0"/>
  </w:style>
  <w:style w:type="paragraph" w:styleId="24">
    <w:name w:val="List Paragraph"/>
    <w:basedOn w:val="1"/>
    <w:qFormat/>
    <w:uiPriority w:val="34"/>
    <w:pPr>
      <w:spacing w:after="200" w:line="276" w:lineRule="auto"/>
      <w:ind w:left="720"/>
      <w:contextualSpacing/>
    </w:pPr>
    <w:rPr>
      <w:rFonts w:ascii="Calibri" w:hAnsi="Calibri" w:eastAsia="Calibri"/>
      <w:sz w:val="22"/>
      <w:szCs w:val="22"/>
      <w:lang w:val="ro-RO" w:eastAsia="en-US"/>
    </w:rPr>
  </w:style>
  <w:style w:type="character" w:customStyle="1" w:styleId="25">
    <w:name w:val="Titlu 4 Caracter"/>
    <w:link w:val="3"/>
    <w:qFormat/>
    <w:uiPriority w:val="9"/>
    <w:rPr>
      <w:rFonts w:ascii="Times New Roman" w:hAnsi="Times New Roman" w:eastAsia="Times New Roman"/>
      <w:b/>
      <w:bCs/>
      <w:sz w:val="24"/>
      <w:szCs w:val="24"/>
    </w:rPr>
  </w:style>
  <w:style w:type="character" w:customStyle="1" w:styleId="26">
    <w:name w:val="Titlu 1 Caracter"/>
    <w:link w:val="2"/>
    <w:qFormat/>
    <w:uiPriority w:val="9"/>
    <w:rPr>
      <w:rFonts w:ascii="Cambria" w:hAnsi="Cambria" w:eastAsia="Times New Roman" w:cs="Times New Roman"/>
      <w:b/>
      <w:bCs/>
      <w:kern w:val="32"/>
      <w:sz w:val="32"/>
      <w:szCs w:val="32"/>
      <w:lang w:val="cs-CZ" w:eastAsia="cs-CZ"/>
    </w:rPr>
  </w:style>
  <w:style w:type="character" w:customStyle="1" w:styleId="27">
    <w:name w:val="Titlu 5 Caracter"/>
    <w:link w:val="4"/>
    <w:semiHidden/>
    <w:qFormat/>
    <w:uiPriority w:val="9"/>
    <w:rPr>
      <w:rFonts w:ascii="Calibri" w:hAnsi="Calibri" w:eastAsia="Times New Roman" w:cs="Times New Roman"/>
      <w:b/>
      <w:bCs/>
      <w:i/>
      <w:iCs/>
      <w:sz w:val="26"/>
      <w:szCs w:val="26"/>
      <w:lang w:val="cs-CZ" w:eastAsia="cs-CZ"/>
    </w:rPr>
  </w:style>
  <w:style w:type="paragraph" w:customStyle="1" w:styleId="28">
    <w:name w:val="rtejustify"/>
    <w:basedOn w:val="1"/>
    <w:qFormat/>
    <w:uiPriority w:val="0"/>
    <w:pPr>
      <w:spacing w:before="100" w:beforeAutospacing="1" w:after="100" w:afterAutospacing="1"/>
    </w:pPr>
    <w:rPr>
      <w:lang w:val="en-US" w:eastAsia="en-US"/>
    </w:rPr>
  </w:style>
  <w:style w:type="character" w:customStyle="1" w:styleId="29">
    <w:name w:val="Mențiune Nerezolvat1"/>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380</Words>
  <Characters>2171</Characters>
  <Lines>18</Lines>
  <Paragraphs>5</Paragraphs>
  <TotalTime>3</TotalTime>
  <ScaleCrop>false</ScaleCrop>
  <LinksUpToDate>false</LinksUpToDate>
  <CharactersWithSpaces>2546</CharactersWithSpaces>
  <Application>WPS Office_11.2.0.10265_F1E327BC-269C-435d-A152-05C5408002CA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2021-09-13T12:12:00Z</dcterms:created>
  <dc:creator>Ana-Maria</dc:creator>
  <cp:lastModifiedBy>Hp</cp:lastModifiedBy>
  <cp:lastPrinted>2021-05-26T11:15:00Z</cp:lastPrinted>
  <dcterms:modified xsi:type="dcterms:W3CDTF">2021-09-28T09:17:35Z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1033-11.2.0.10265</vt:lpwstr>
  </property>
  <property fmtid="{D5CDD505-2E9C-101B-9397-08002B2CF9AE}" pid="3" name="ICV">
    <vt:lpwstr>8DF6A0F7AD5242CEA97FC997725C620B</vt:lpwstr>
  </property>
</Properties>
</file>